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2D662891" w:rsidR="00E867F0" w:rsidRPr="00E867F0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E867F0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C13BFB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E867F0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E867F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03C81">
        <w:rPr>
          <w:rFonts w:ascii="Arial" w:eastAsia="MS Mincho" w:hAnsi="Arial"/>
          <w:b/>
          <w:sz w:val="24"/>
          <w:szCs w:val="24"/>
          <w:lang w:eastAsia="en-GB"/>
        </w:rPr>
        <w:t>R2-2108711</w:t>
      </w:r>
      <w:bookmarkStart w:id="0" w:name="_GoBack"/>
      <w:bookmarkEnd w:id="0"/>
    </w:p>
    <w:p w14:paraId="237386FD" w14:textId="77F02978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Pr="007C5C53"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16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2B92F4CD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A256CE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42653B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32976FEA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3B7DBA">
        <w:rPr>
          <w:rFonts w:ascii="Arial" w:hAnsi="Arial" w:cs="Arial"/>
          <w:b/>
          <w:sz w:val="24"/>
          <w:szCs w:val="24"/>
        </w:rPr>
        <w:t>Title:</w:t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C36089" w:rsidRPr="003B7DBA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3B7DBA" w:rsidRPr="003B7DBA">
        <w:rPr>
          <w:rFonts w:ascii="Arial" w:hAnsi="Arial" w:cs="Arial"/>
          <w:b/>
          <w:sz w:val="24"/>
          <w:szCs w:val="24"/>
          <w:lang w:eastAsia="zh-TW"/>
        </w:rPr>
        <w:t xml:space="preserve"> fallback to non-SDT</w:t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1F804B0" w14:textId="35AC113B" w:rsidR="009A4E98" w:rsidRDefault="00F46753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A7554B">
        <w:rPr>
          <w:color w:val="000000" w:themeColor="text1"/>
          <w:sz w:val="22"/>
        </w:rPr>
        <w:t>the</w:t>
      </w:r>
      <w:r>
        <w:rPr>
          <w:color w:val="000000" w:themeColor="text1"/>
          <w:sz w:val="22"/>
        </w:rPr>
        <w:t xml:space="preserve"> </w:t>
      </w:r>
      <w:r w:rsidR="003B7DBA">
        <w:rPr>
          <w:color w:val="000000" w:themeColor="text1"/>
          <w:sz w:val="22"/>
        </w:rPr>
        <w:t>RAN2 #113bis meeting [1]</w:t>
      </w:r>
      <w:r>
        <w:rPr>
          <w:color w:val="000000" w:themeColor="text1"/>
          <w:sz w:val="22"/>
        </w:rPr>
        <w:t xml:space="preserve">, </w:t>
      </w:r>
      <w:r w:rsidR="00836415">
        <w:rPr>
          <w:color w:val="000000" w:themeColor="text1"/>
          <w:sz w:val="22"/>
        </w:rPr>
        <w:t>switch from SDT to non-SDT has been discussed and the following agreement is made:</w:t>
      </w:r>
    </w:p>
    <w:tbl>
      <w:tblPr>
        <w:tblStyle w:val="af3"/>
        <w:tblW w:w="8701" w:type="dxa"/>
        <w:tblInd w:w="1075" w:type="dxa"/>
        <w:tblLook w:val="04A0" w:firstRow="1" w:lastRow="0" w:firstColumn="1" w:lastColumn="0" w:noHBand="0" w:noVBand="1"/>
      </w:tblPr>
      <w:tblGrid>
        <w:gridCol w:w="8701"/>
      </w:tblGrid>
      <w:tr w:rsidR="003B7DBA" w:rsidRPr="003D539C" w14:paraId="656AEC4B" w14:textId="77777777" w:rsidTr="003B7DBA">
        <w:tc>
          <w:tcPr>
            <w:tcW w:w="8701" w:type="dxa"/>
          </w:tcPr>
          <w:p w14:paraId="73872D4F" w14:textId="77777777" w:rsidR="003B7DBA" w:rsidRPr="003D539C" w:rsidRDefault="003B7DBA" w:rsidP="00103C5C">
            <w:pPr>
              <w:pStyle w:val="Doc-text2"/>
              <w:tabs>
                <w:tab w:val="clear" w:pos="1622"/>
                <w:tab w:val="left" w:pos="526"/>
              </w:tabs>
              <w:ind w:left="796" w:hanging="376"/>
              <w:rPr>
                <w:b/>
                <w:bCs/>
                <w:lang w:val="en-US"/>
              </w:rPr>
            </w:pPr>
            <w:r w:rsidRPr="003D539C">
              <w:rPr>
                <w:b/>
                <w:bCs/>
                <w:lang w:val="en-US"/>
              </w:rPr>
              <w:t>Agreements:</w:t>
            </w:r>
          </w:p>
          <w:p w14:paraId="23E21D52" w14:textId="77777777" w:rsidR="003B7DBA" w:rsidRPr="003D539C" w:rsidRDefault="003B7DBA" w:rsidP="00103C5C">
            <w:pPr>
              <w:pStyle w:val="Doc-text2"/>
              <w:numPr>
                <w:ilvl w:val="0"/>
                <w:numId w:val="48"/>
              </w:numPr>
              <w:tabs>
                <w:tab w:val="clear" w:pos="1622"/>
                <w:tab w:val="left" w:pos="526"/>
              </w:tabs>
              <w:overflowPunct/>
              <w:autoSpaceDE/>
              <w:autoSpaceDN/>
              <w:adjustRightInd/>
              <w:ind w:left="796" w:hanging="376"/>
              <w:textAlignment w:val="auto"/>
              <w:rPr>
                <w:lang w:val="en-US"/>
              </w:rPr>
            </w:pPr>
            <w:r w:rsidRPr="003D539C">
              <w:rPr>
                <w:lang w:val="en-US"/>
              </w:rPr>
              <w:t>Switching from SDT to non-SDT is supported.</w:t>
            </w:r>
          </w:p>
          <w:p w14:paraId="348BA2BD" w14:textId="77777777" w:rsidR="003B7DBA" w:rsidRPr="003D539C" w:rsidRDefault="003B7DBA" w:rsidP="00103C5C">
            <w:pPr>
              <w:pStyle w:val="Doc-text2"/>
              <w:numPr>
                <w:ilvl w:val="0"/>
                <w:numId w:val="48"/>
              </w:numPr>
              <w:tabs>
                <w:tab w:val="clear" w:pos="1622"/>
                <w:tab w:val="left" w:pos="526"/>
              </w:tabs>
              <w:overflowPunct/>
              <w:autoSpaceDE/>
              <w:autoSpaceDN/>
              <w:adjustRightInd/>
              <w:ind w:left="796" w:hanging="376"/>
              <w:textAlignment w:val="auto"/>
              <w:rPr>
                <w:lang w:val="en-US"/>
              </w:rPr>
            </w:pPr>
            <w:r w:rsidRPr="003D539C">
              <w:rPr>
                <w:lang w:val="en-US"/>
              </w:rPr>
              <w:t>FFS Switching from CG-SDT to RA-SDT is not allowed</w:t>
            </w:r>
          </w:p>
          <w:p w14:paraId="6BEEFF3B" w14:textId="77777777" w:rsidR="003B7DBA" w:rsidRPr="003D539C" w:rsidRDefault="003B7DBA" w:rsidP="00103C5C">
            <w:pPr>
              <w:pStyle w:val="Doc-text2"/>
              <w:tabs>
                <w:tab w:val="clear" w:pos="1622"/>
                <w:tab w:val="left" w:pos="526"/>
              </w:tabs>
              <w:ind w:left="796" w:hanging="376"/>
              <w:rPr>
                <w:lang w:val="en-US"/>
              </w:rPr>
            </w:pPr>
            <w:r w:rsidRPr="003D539C">
              <w:rPr>
                <w:lang w:val="en-US"/>
              </w:rPr>
              <w:t>11</w:t>
            </w:r>
            <w:r w:rsidRPr="003D539C">
              <w:rPr>
                <w:lang w:val="en-US"/>
              </w:rPr>
              <w:tab/>
              <w:t>UE switches from SDT to non-SDT in following cases:</w:t>
            </w:r>
          </w:p>
          <w:p w14:paraId="4AC25AB7" w14:textId="77777777" w:rsidR="003B7DBA" w:rsidRPr="003D539C" w:rsidRDefault="003B7DBA" w:rsidP="00103C5C">
            <w:pPr>
              <w:pStyle w:val="Doc-text2"/>
              <w:tabs>
                <w:tab w:val="clear" w:pos="1622"/>
                <w:tab w:val="left" w:pos="526"/>
              </w:tabs>
              <w:ind w:left="1096" w:hanging="376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  <w:t xml:space="preserve">Case 1 (27/0): UE receive indication from network to switch to non-SDT procedure. </w:t>
            </w:r>
          </w:p>
          <w:p w14:paraId="1D1F080F" w14:textId="77777777" w:rsidR="003B7DBA" w:rsidRPr="003D539C" w:rsidRDefault="003B7DBA" w:rsidP="00103C5C">
            <w:pPr>
              <w:pStyle w:val="Doc-text2"/>
              <w:tabs>
                <w:tab w:val="clear" w:pos="1622"/>
                <w:tab w:val="left" w:pos="526"/>
              </w:tabs>
              <w:ind w:left="1096" w:hanging="376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3D539C">
              <w:rPr>
                <w:lang w:val="en-US"/>
              </w:rPr>
              <w:tab/>
            </w:r>
            <w:r w:rsidRPr="007769DF">
              <w:rPr>
                <w:lang w:val="en-US"/>
              </w:rPr>
              <w:t>Network can send RRCResume. FFS whether network can send indication in RAR/fallbackRAR/DCI to switch to non-SDT procedure.</w:t>
            </w:r>
          </w:p>
          <w:p w14:paraId="4A84D84D" w14:textId="77777777" w:rsidR="003B7DBA" w:rsidRPr="003B7DBA" w:rsidRDefault="003B7DBA" w:rsidP="00103C5C">
            <w:pPr>
              <w:pStyle w:val="Doc-text2"/>
              <w:tabs>
                <w:tab w:val="clear" w:pos="1622"/>
                <w:tab w:val="left" w:pos="526"/>
              </w:tabs>
              <w:ind w:left="1096" w:hanging="376"/>
              <w:rPr>
                <w:rFonts w:eastAsia="Yu Mincho"/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E6579B">
              <w:rPr>
                <w:highlight w:val="yellow"/>
                <w:lang w:val="en-US"/>
              </w:rPr>
              <w:t>FFS Case 2 (18/9): Initial UL transmission (in msgA/Msg3/CG resources) fails configured number of times</w:t>
            </w:r>
          </w:p>
        </w:tc>
      </w:tr>
    </w:tbl>
    <w:p w14:paraId="4CB4FB9C" w14:textId="078F73FE" w:rsidR="005A1B1B" w:rsidRDefault="009A4E98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="00F72F6F" w:rsidRPr="00F72F6F">
        <w:rPr>
          <w:color w:val="000000" w:themeColor="text1"/>
          <w:sz w:val="22"/>
        </w:rPr>
        <w:t xml:space="preserve">n this contribution, we </w:t>
      </w:r>
      <w:r w:rsidR="000A14EC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the </w:t>
      </w:r>
      <w:r w:rsidR="00A60ECE">
        <w:rPr>
          <w:color w:val="000000" w:themeColor="text1"/>
          <w:sz w:val="22"/>
        </w:rPr>
        <w:t>fallback mechanism</w:t>
      </w:r>
      <w:r w:rsidR="00356909">
        <w:rPr>
          <w:color w:val="000000" w:themeColor="text1"/>
          <w:sz w:val="22"/>
        </w:rPr>
        <w:t xml:space="preserve"> triggered by the UE side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26ED2D17" w14:textId="54240BBE" w:rsidR="00836415" w:rsidRDefault="00836415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 xml:space="preserve">the RAN2 #113bis meeting [1], it has been agreed that the UE could switch from SDT to non-SDT by receiving a RRCResume message. And it is FFS on whether the UE could fallback from SDT to non-SDT when the UE receives other type of indication from the NW and/or when the UE fails to transmit the UL transmission number of times. </w:t>
      </w:r>
      <w:r w:rsidR="00356909">
        <w:rPr>
          <w:rFonts w:hint="eastAsia"/>
          <w:color w:val="000000" w:themeColor="text1"/>
          <w:sz w:val="22"/>
        </w:rPr>
        <w:t xml:space="preserve">The </w:t>
      </w:r>
      <w:r w:rsidR="00356909">
        <w:rPr>
          <w:color w:val="000000" w:themeColor="text1"/>
          <w:sz w:val="22"/>
        </w:rPr>
        <w:t>fallback</w:t>
      </w:r>
      <w:r w:rsidR="00356909">
        <w:rPr>
          <w:rFonts w:hint="eastAsia"/>
          <w:color w:val="000000" w:themeColor="text1"/>
          <w:sz w:val="22"/>
        </w:rPr>
        <w:t xml:space="preserve"> </w:t>
      </w:r>
      <w:r w:rsidR="00356909">
        <w:rPr>
          <w:color w:val="000000" w:themeColor="text1"/>
          <w:sz w:val="22"/>
        </w:rPr>
        <w:t>rely</w:t>
      </w:r>
      <w:r>
        <w:rPr>
          <w:color w:val="000000" w:themeColor="text1"/>
          <w:sz w:val="22"/>
        </w:rPr>
        <w:t>ing</w:t>
      </w:r>
      <w:r w:rsidR="00356909">
        <w:rPr>
          <w:color w:val="000000" w:themeColor="text1"/>
          <w:sz w:val="22"/>
        </w:rPr>
        <w:t xml:space="preserve"> on RRCResume message </w:t>
      </w:r>
      <w:r w:rsidR="00713A2A">
        <w:rPr>
          <w:color w:val="000000" w:themeColor="text1"/>
          <w:sz w:val="22"/>
        </w:rPr>
        <w:t xml:space="preserve">corresponding to the transmitted RRCResumeRequest </w:t>
      </w:r>
      <w:r w:rsidR="00356909">
        <w:rPr>
          <w:color w:val="000000" w:themeColor="text1"/>
          <w:sz w:val="22"/>
        </w:rPr>
        <w:t>is a baseline handle</w:t>
      </w:r>
      <w:r w:rsidR="00713A2A">
        <w:rPr>
          <w:color w:val="000000" w:themeColor="text1"/>
          <w:sz w:val="22"/>
        </w:rPr>
        <w:t>d</w:t>
      </w:r>
      <w:r w:rsidR="00356909">
        <w:rPr>
          <w:color w:val="000000" w:themeColor="text1"/>
          <w:sz w:val="22"/>
        </w:rPr>
        <w:t xml:space="preserve"> by network. </w:t>
      </w:r>
      <w:r w:rsidR="00713A2A">
        <w:rPr>
          <w:color w:val="000000" w:themeColor="text1"/>
          <w:sz w:val="22"/>
        </w:rPr>
        <w:t>The network can decide to move the UE to connect</w:t>
      </w:r>
      <w:r w:rsidR="00CC69FC">
        <w:rPr>
          <w:color w:val="000000" w:themeColor="text1"/>
          <w:sz w:val="22"/>
        </w:rPr>
        <w:t>ed</w:t>
      </w:r>
      <w:r w:rsidR="00713A2A">
        <w:rPr>
          <w:color w:val="000000" w:themeColor="text1"/>
          <w:sz w:val="22"/>
        </w:rPr>
        <w:t xml:space="preserve"> mode </w:t>
      </w:r>
      <w:r w:rsidR="00CC69FC">
        <w:rPr>
          <w:color w:val="000000" w:themeColor="text1"/>
          <w:sz w:val="22"/>
        </w:rPr>
        <w:t xml:space="preserve">at </w:t>
      </w:r>
      <w:r w:rsidR="00713A2A">
        <w:rPr>
          <w:color w:val="000000" w:themeColor="text1"/>
          <w:sz w:val="22"/>
        </w:rPr>
        <w:t>any time during the SDT procedure</w:t>
      </w:r>
      <w:r w:rsidR="00843569">
        <w:rPr>
          <w:color w:val="000000" w:themeColor="text1"/>
          <w:sz w:val="22"/>
        </w:rPr>
        <w:t>.</w:t>
      </w:r>
      <w:r w:rsidR="00BD5B57">
        <w:rPr>
          <w:color w:val="000000" w:themeColor="text1"/>
          <w:sz w:val="22"/>
        </w:rPr>
        <w:t xml:space="preserve"> </w:t>
      </w:r>
    </w:p>
    <w:p w14:paraId="13840168" w14:textId="290BF317" w:rsidR="006F1AF8" w:rsidRDefault="00BD5B57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addition</w:t>
      </w:r>
      <w:r w:rsidR="00836415">
        <w:rPr>
          <w:color w:val="000000" w:themeColor="text1"/>
          <w:sz w:val="22"/>
        </w:rPr>
        <w:t xml:space="preserve"> to the fallback triggered by network</w:t>
      </w:r>
      <w:r>
        <w:rPr>
          <w:color w:val="000000" w:themeColor="text1"/>
          <w:sz w:val="22"/>
        </w:rPr>
        <w:t xml:space="preserve">, </w:t>
      </w:r>
      <w:r w:rsidR="00836415">
        <w:rPr>
          <w:color w:val="000000" w:themeColor="text1"/>
          <w:sz w:val="22"/>
        </w:rPr>
        <w:t>UE-triggered fallback should also be considered. I</w:t>
      </w:r>
      <w:r w:rsidR="00CC69FC">
        <w:rPr>
          <w:color w:val="000000" w:themeColor="text1"/>
          <w:sz w:val="22"/>
        </w:rPr>
        <w:t xml:space="preserve">n the related e-mail discussion [2], many </w:t>
      </w:r>
      <w:r w:rsidR="0056058F">
        <w:rPr>
          <w:color w:val="000000" w:themeColor="text1"/>
          <w:sz w:val="22"/>
        </w:rPr>
        <w:t>companies support both option 1 (i.e., the n</w:t>
      </w:r>
      <w:r w:rsidR="0056058F" w:rsidRPr="007E2927">
        <w:rPr>
          <w:color w:val="000000" w:themeColor="text1"/>
          <w:sz w:val="22"/>
        </w:rPr>
        <w:t xml:space="preserve">etwork </w:t>
      </w:r>
      <w:r w:rsidR="0056058F">
        <w:rPr>
          <w:color w:val="000000" w:themeColor="text1"/>
          <w:sz w:val="22"/>
        </w:rPr>
        <w:t>sends</w:t>
      </w:r>
      <w:r w:rsidR="0056058F" w:rsidRPr="007E2927">
        <w:rPr>
          <w:color w:val="000000" w:themeColor="text1"/>
          <w:sz w:val="22"/>
        </w:rPr>
        <w:t xml:space="preserve"> indication to switch to non-SDT</w:t>
      </w:r>
      <w:r w:rsidR="0056058F">
        <w:rPr>
          <w:color w:val="000000" w:themeColor="text1"/>
          <w:sz w:val="22"/>
        </w:rPr>
        <w:t>) and option 2 (i.e.,</w:t>
      </w:r>
      <w:r w:rsidR="0056058F" w:rsidRPr="007E2927">
        <w:rPr>
          <w:color w:val="000000" w:themeColor="text1"/>
          <w:sz w:val="22"/>
        </w:rPr>
        <w:t xml:space="preserve"> </w:t>
      </w:r>
      <w:r w:rsidR="0056058F">
        <w:rPr>
          <w:color w:val="000000" w:themeColor="text1"/>
          <w:sz w:val="22"/>
        </w:rPr>
        <w:t>i</w:t>
      </w:r>
      <w:r w:rsidR="0056058F" w:rsidRPr="007E2927">
        <w:rPr>
          <w:color w:val="000000" w:themeColor="text1"/>
          <w:sz w:val="22"/>
        </w:rPr>
        <w:t>nitial UL transmission fails configured number of times</w:t>
      </w:r>
      <w:r w:rsidR="0056058F">
        <w:rPr>
          <w:color w:val="000000" w:themeColor="text1"/>
          <w:sz w:val="22"/>
        </w:rPr>
        <w:t>).</w:t>
      </w:r>
      <w:r w:rsidR="00962EDA">
        <w:rPr>
          <w:color w:val="000000" w:themeColor="text1"/>
          <w:sz w:val="22"/>
        </w:rPr>
        <w:t xml:space="preserve"> </w:t>
      </w:r>
      <w:r w:rsidR="007460E9">
        <w:rPr>
          <w:color w:val="000000" w:themeColor="text1"/>
          <w:sz w:val="22"/>
        </w:rPr>
        <w:t>T</w:t>
      </w:r>
      <w:r w:rsidR="00803959">
        <w:rPr>
          <w:color w:val="000000" w:themeColor="text1"/>
          <w:sz w:val="22"/>
        </w:rPr>
        <w:t>he</w:t>
      </w:r>
      <w:r w:rsidR="00962EDA">
        <w:rPr>
          <w:color w:val="000000" w:themeColor="text1"/>
          <w:sz w:val="22"/>
        </w:rPr>
        <w:t xml:space="preserve"> </w:t>
      </w:r>
      <w:r w:rsidR="00F74BDE">
        <w:rPr>
          <w:color w:val="000000" w:themeColor="text1"/>
          <w:sz w:val="22"/>
        </w:rPr>
        <w:t>fallback</w:t>
      </w:r>
      <w:r w:rsidR="00962EDA" w:rsidRPr="00962EDA">
        <w:rPr>
          <w:color w:val="000000" w:themeColor="text1"/>
          <w:sz w:val="22"/>
        </w:rPr>
        <w:t xml:space="preserve"> from SDT to non-SDT </w:t>
      </w:r>
      <w:r w:rsidR="006F1AF8">
        <w:rPr>
          <w:color w:val="000000" w:themeColor="text1"/>
          <w:sz w:val="22"/>
        </w:rPr>
        <w:t>depend</w:t>
      </w:r>
      <w:r w:rsidR="00803959">
        <w:rPr>
          <w:color w:val="000000" w:themeColor="text1"/>
          <w:sz w:val="22"/>
        </w:rPr>
        <w:t>s</w:t>
      </w:r>
      <w:r w:rsidR="006F1AF8">
        <w:rPr>
          <w:color w:val="000000" w:themeColor="text1"/>
          <w:sz w:val="22"/>
        </w:rPr>
        <w:t xml:space="preserve"> on</w:t>
      </w:r>
      <w:r w:rsidR="00962EDA">
        <w:rPr>
          <w:color w:val="000000" w:themeColor="text1"/>
          <w:sz w:val="22"/>
        </w:rPr>
        <w:t xml:space="preserve"> both UE triggering and network triggering</w:t>
      </w:r>
      <w:r w:rsidR="00803959">
        <w:rPr>
          <w:color w:val="000000" w:themeColor="text1"/>
          <w:sz w:val="22"/>
        </w:rPr>
        <w:t xml:space="preserve"> are </w:t>
      </w:r>
      <w:r w:rsidR="007460E9">
        <w:rPr>
          <w:color w:val="000000" w:themeColor="text1"/>
          <w:sz w:val="22"/>
        </w:rPr>
        <w:t xml:space="preserve">corresponding to different use cases and both options should be </w:t>
      </w:r>
      <w:r>
        <w:rPr>
          <w:color w:val="000000" w:themeColor="text1"/>
          <w:sz w:val="22"/>
        </w:rPr>
        <w:t xml:space="preserve">considered to be </w:t>
      </w:r>
      <w:r w:rsidR="00803959">
        <w:rPr>
          <w:color w:val="000000" w:themeColor="text1"/>
          <w:sz w:val="22"/>
        </w:rPr>
        <w:t>supported</w:t>
      </w:r>
      <w:r w:rsidR="00962EDA">
        <w:rPr>
          <w:color w:val="000000" w:themeColor="text1"/>
          <w:sz w:val="22"/>
        </w:rPr>
        <w:t>.</w:t>
      </w:r>
      <w:r w:rsidR="005E7AF5">
        <w:rPr>
          <w:rFonts w:hint="eastAsia"/>
          <w:color w:val="000000" w:themeColor="text1"/>
          <w:sz w:val="22"/>
        </w:rPr>
        <w:t xml:space="preserve"> </w:t>
      </w:r>
    </w:p>
    <w:p w14:paraId="23E8A5F6" w14:textId="64E1C765" w:rsidR="007D680C" w:rsidRDefault="007460E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the use case of UE-triggered fallback, i</w:t>
      </w:r>
      <w:r w:rsidR="00500F7A">
        <w:rPr>
          <w:color w:val="000000" w:themeColor="text1"/>
          <w:sz w:val="22"/>
        </w:rPr>
        <w:t xml:space="preserve">t is possible that the network could not receive the first </w:t>
      </w:r>
      <w:r w:rsidR="009C2319">
        <w:rPr>
          <w:color w:val="000000" w:themeColor="text1"/>
          <w:sz w:val="22"/>
        </w:rPr>
        <w:t>UL transmission</w:t>
      </w:r>
      <w:r w:rsidR="008C462C">
        <w:rPr>
          <w:color w:val="000000" w:themeColor="text1"/>
          <w:sz w:val="22"/>
        </w:rPr>
        <w:t xml:space="preserve"> in the initial SDT phase</w:t>
      </w:r>
      <w:r w:rsidR="00500F7A">
        <w:rPr>
          <w:color w:val="000000" w:themeColor="text1"/>
          <w:sz w:val="22"/>
        </w:rPr>
        <w:t xml:space="preserve">. </w:t>
      </w:r>
      <w:r w:rsidR="00F05DD1">
        <w:rPr>
          <w:color w:val="000000" w:themeColor="text1"/>
          <w:sz w:val="22"/>
        </w:rPr>
        <w:t xml:space="preserve">Especially for RA-SDT, </w:t>
      </w:r>
      <w:r w:rsidR="00C47FBA">
        <w:rPr>
          <w:color w:val="000000" w:themeColor="text1"/>
          <w:sz w:val="22"/>
        </w:rPr>
        <w:t xml:space="preserve">since the RA resources for SDT is not dedicated to </w:t>
      </w:r>
      <w:r w:rsidR="007D680C">
        <w:rPr>
          <w:color w:val="000000" w:themeColor="text1"/>
          <w:sz w:val="22"/>
        </w:rPr>
        <w:t>a</w:t>
      </w:r>
      <w:r w:rsidR="00C47FBA">
        <w:rPr>
          <w:color w:val="000000" w:themeColor="text1"/>
          <w:sz w:val="22"/>
        </w:rPr>
        <w:t xml:space="preserve"> UE, the UE may transmit a Msg1 or MSGA but fail to receive </w:t>
      </w:r>
      <w:r w:rsidR="00035199">
        <w:rPr>
          <w:color w:val="000000" w:themeColor="text1"/>
          <w:sz w:val="22"/>
        </w:rPr>
        <w:t xml:space="preserve">the </w:t>
      </w:r>
      <w:r w:rsidR="00C47FBA">
        <w:rPr>
          <w:color w:val="000000" w:themeColor="text1"/>
          <w:sz w:val="22"/>
        </w:rPr>
        <w:t xml:space="preserve">network response. </w:t>
      </w:r>
      <w:r w:rsidR="004E49BB">
        <w:rPr>
          <w:color w:val="000000" w:themeColor="text1"/>
          <w:sz w:val="22"/>
        </w:rPr>
        <w:t xml:space="preserve">Or the UE may fail to transmit the </w:t>
      </w:r>
      <w:r w:rsidR="00934B4A">
        <w:rPr>
          <w:color w:val="000000" w:themeColor="text1"/>
          <w:sz w:val="22"/>
        </w:rPr>
        <w:t xml:space="preserve">UL data in </w:t>
      </w:r>
      <w:r w:rsidR="0070716C">
        <w:rPr>
          <w:color w:val="000000" w:themeColor="text1"/>
          <w:sz w:val="22"/>
        </w:rPr>
        <w:t xml:space="preserve">a </w:t>
      </w:r>
      <w:r w:rsidR="004E49BB">
        <w:rPr>
          <w:color w:val="000000" w:themeColor="text1"/>
          <w:sz w:val="22"/>
        </w:rPr>
        <w:t xml:space="preserve">Msg3 or MSGA. The UE may retransmit the Msg1/MSGA in RA-SDT procedure until the </w:t>
      </w:r>
      <w:r w:rsidR="004E49BB" w:rsidRPr="0089209B">
        <w:rPr>
          <w:color w:val="000000" w:themeColor="text1"/>
          <w:sz w:val="22"/>
        </w:rPr>
        <w:t xml:space="preserve">failure detection timer </w:t>
      </w:r>
      <w:r w:rsidR="004E49BB">
        <w:rPr>
          <w:color w:val="000000" w:themeColor="text1"/>
          <w:sz w:val="22"/>
        </w:rPr>
        <w:t xml:space="preserve">(e.g., new T319) expires. Then the UE may transit to idle mode and data loss would happen. </w:t>
      </w:r>
      <w:r w:rsidR="00934B4A">
        <w:rPr>
          <w:color w:val="000000" w:themeColor="text1"/>
          <w:sz w:val="22"/>
        </w:rPr>
        <w:t xml:space="preserve">On the other hand, considering that the new T319 may be extended or </w:t>
      </w:r>
      <w:r w:rsidR="00035199">
        <w:rPr>
          <w:color w:val="000000" w:themeColor="text1"/>
          <w:sz w:val="22"/>
        </w:rPr>
        <w:t xml:space="preserve">be </w:t>
      </w:r>
      <w:r w:rsidR="00934B4A">
        <w:rPr>
          <w:color w:val="000000" w:themeColor="text1"/>
          <w:sz w:val="22"/>
        </w:rPr>
        <w:t xml:space="preserve">restarted </w:t>
      </w:r>
      <w:r w:rsidR="00035199">
        <w:rPr>
          <w:color w:val="000000" w:themeColor="text1"/>
          <w:sz w:val="22"/>
        </w:rPr>
        <w:t>at each UL transmission to cover the subsequent transmission</w:t>
      </w:r>
      <w:r w:rsidR="00B60944">
        <w:rPr>
          <w:color w:val="000000" w:themeColor="text1"/>
          <w:sz w:val="22"/>
        </w:rPr>
        <w:t>(s)</w:t>
      </w:r>
      <w:r w:rsidR="00934B4A">
        <w:rPr>
          <w:color w:val="000000" w:themeColor="text1"/>
          <w:sz w:val="22"/>
        </w:rPr>
        <w:t xml:space="preserve">, </w:t>
      </w:r>
      <w:r w:rsidR="0070716C">
        <w:rPr>
          <w:color w:val="000000" w:themeColor="text1"/>
          <w:sz w:val="22"/>
        </w:rPr>
        <w:t>the timer may keep running for a long time. T</w:t>
      </w:r>
      <w:r w:rsidR="00934B4A">
        <w:rPr>
          <w:color w:val="000000" w:themeColor="text1"/>
          <w:sz w:val="22"/>
        </w:rPr>
        <w:t>he UE may repeat the faile</w:t>
      </w:r>
      <w:r w:rsidR="00210807">
        <w:rPr>
          <w:color w:val="000000" w:themeColor="text1"/>
          <w:sz w:val="22"/>
        </w:rPr>
        <w:t>d</w:t>
      </w:r>
      <w:r w:rsidR="00934B4A">
        <w:rPr>
          <w:color w:val="000000" w:themeColor="text1"/>
          <w:sz w:val="22"/>
        </w:rPr>
        <w:t xml:space="preserve"> transmission </w:t>
      </w:r>
      <w:r w:rsidR="0070716C">
        <w:rPr>
          <w:color w:val="000000" w:themeColor="text1"/>
          <w:sz w:val="22"/>
        </w:rPr>
        <w:t>before the timer expiry</w:t>
      </w:r>
      <w:r w:rsidR="00035199">
        <w:rPr>
          <w:color w:val="000000" w:themeColor="text1"/>
          <w:sz w:val="22"/>
        </w:rPr>
        <w:t xml:space="preserve">. </w:t>
      </w:r>
      <w:r w:rsidR="0070716C">
        <w:rPr>
          <w:color w:val="000000" w:themeColor="text1"/>
          <w:sz w:val="22"/>
        </w:rPr>
        <w:t>As a result, t</w:t>
      </w:r>
      <w:r w:rsidR="00035199">
        <w:rPr>
          <w:color w:val="000000" w:themeColor="text1"/>
          <w:sz w:val="22"/>
        </w:rPr>
        <w:t xml:space="preserve">he UE could not just rely on the </w:t>
      </w:r>
      <w:r w:rsidR="00035199" w:rsidRPr="00035199">
        <w:rPr>
          <w:color w:val="000000" w:themeColor="text1"/>
          <w:sz w:val="22"/>
        </w:rPr>
        <w:t>failure detection timer</w:t>
      </w:r>
      <w:r w:rsidR="00035199">
        <w:rPr>
          <w:color w:val="000000" w:themeColor="text1"/>
          <w:sz w:val="22"/>
        </w:rPr>
        <w:t xml:space="preserve"> to handle this situation. </w:t>
      </w:r>
      <w:r w:rsidR="004E49BB">
        <w:rPr>
          <w:color w:val="000000" w:themeColor="text1"/>
          <w:sz w:val="22"/>
        </w:rPr>
        <w:t>Instead of keep retransmitting Msg1/MSGA, the UE could attempt to resume to connected mode</w:t>
      </w:r>
      <w:r w:rsidR="000B2460">
        <w:rPr>
          <w:rFonts w:hint="eastAsia"/>
          <w:color w:val="000000" w:themeColor="text1"/>
          <w:sz w:val="22"/>
        </w:rPr>
        <w:t xml:space="preserve"> </w:t>
      </w:r>
      <w:r w:rsidR="000B2460">
        <w:rPr>
          <w:color w:val="000000" w:themeColor="text1"/>
          <w:sz w:val="22"/>
        </w:rPr>
        <w:t>after a number of transmission failure</w:t>
      </w:r>
      <w:r w:rsidR="004E49BB">
        <w:rPr>
          <w:color w:val="000000" w:themeColor="text1"/>
          <w:sz w:val="22"/>
        </w:rPr>
        <w:t xml:space="preserve">. Then the UE could transmit the UL data in connected mode. </w:t>
      </w:r>
      <w:r w:rsidR="004E49BB" w:rsidRPr="00A95278">
        <w:rPr>
          <w:color w:val="000000" w:themeColor="text1"/>
          <w:sz w:val="22"/>
        </w:rPr>
        <w:t xml:space="preserve">This </w:t>
      </w:r>
      <w:r w:rsidR="004E49BB">
        <w:rPr>
          <w:color w:val="000000" w:themeColor="text1"/>
          <w:sz w:val="22"/>
        </w:rPr>
        <w:t xml:space="preserve">also </w:t>
      </w:r>
      <w:r w:rsidR="004E49BB" w:rsidRPr="00A95278">
        <w:rPr>
          <w:color w:val="000000" w:themeColor="text1"/>
          <w:sz w:val="22"/>
        </w:rPr>
        <w:t xml:space="preserve">can help to avoid radio resources waste </w:t>
      </w:r>
      <w:r w:rsidR="004E49BB">
        <w:rPr>
          <w:color w:val="000000" w:themeColor="text1"/>
          <w:sz w:val="22"/>
        </w:rPr>
        <w:t>for</w:t>
      </w:r>
      <w:r w:rsidR="004E49BB" w:rsidRPr="00A95278">
        <w:rPr>
          <w:color w:val="000000" w:themeColor="text1"/>
          <w:sz w:val="22"/>
        </w:rPr>
        <w:t xml:space="preserve"> the fail</w:t>
      </w:r>
      <w:r w:rsidR="004E49BB">
        <w:rPr>
          <w:color w:val="000000" w:themeColor="text1"/>
          <w:sz w:val="22"/>
        </w:rPr>
        <w:t>ure</w:t>
      </w:r>
      <w:r w:rsidR="004E49BB" w:rsidRPr="00A95278">
        <w:rPr>
          <w:color w:val="000000" w:themeColor="text1"/>
          <w:sz w:val="22"/>
        </w:rPr>
        <w:t xml:space="preserve"> </w:t>
      </w:r>
      <w:r w:rsidR="004E49BB">
        <w:rPr>
          <w:color w:val="000000" w:themeColor="text1"/>
          <w:sz w:val="22"/>
        </w:rPr>
        <w:t>retransmissions in RA-SDT</w:t>
      </w:r>
      <w:r w:rsidR="004E49BB" w:rsidRPr="00A95278">
        <w:rPr>
          <w:color w:val="000000" w:themeColor="text1"/>
          <w:sz w:val="22"/>
        </w:rPr>
        <w:t xml:space="preserve"> procedure</w:t>
      </w:r>
      <w:r w:rsidR="004E49BB">
        <w:rPr>
          <w:color w:val="000000" w:themeColor="text1"/>
          <w:sz w:val="22"/>
        </w:rPr>
        <w:t>.</w:t>
      </w:r>
    </w:p>
    <w:p w14:paraId="4123C411" w14:textId="5235B9DE" w:rsidR="00E6579B" w:rsidRPr="001152FB" w:rsidRDefault="0080395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Therefore, we propose to support </w:t>
      </w:r>
      <w:r w:rsidR="004D6CD4">
        <w:rPr>
          <w:color w:val="000000" w:themeColor="text1"/>
          <w:sz w:val="22"/>
        </w:rPr>
        <w:t>switching</w:t>
      </w:r>
      <w:r w:rsidR="004D6CD4" w:rsidRPr="004D6CD4">
        <w:rPr>
          <w:color w:val="000000" w:themeColor="text1"/>
          <w:sz w:val="22"/>
        </w:rPr>
        <w:t xml:space="preserve"> from SDT to non-SDT</w:t>
      </w:r>
      <w:r w:rsidR="004D6CD4">
        <w:rPr>
          <w:color w:val="000000" w:themeColor="text1"/>
          <w:sz w:val="22"/>
        </w:rPr>
        <w:t xml:space="preserve"> when </w:t>
      </w:r>
      <w:r w:rsidR="00207656">
        <w:rPr>
          <w:color w:val="000000" w:themeColor="text1"/>
          <w:sz w:val="22"/>
        </w:rPr>
        <w:t xml:space="preserve">the attempts of the </w:t>
      </w:r>
      <w:r w:rsidR="00C33960">
        <w:rPr>
          <w:color w:val="000000" w:themeColor="text1"/>
          <w:sz w:val="22"/>
        </w:rPr>
        <w:t>first</w:t>
      </w:r>
      <w:r w:rsidR="004D6CD4" w:rsidRPr="004D6CD4">
        <w:rPr>
          <w:color w:val="000000" w:themeColor="text1"/>
          <w:sz w:val="22"/>
        </w:rPr>
        <w:t xml:space="preserve"> </w:t>
      </w:r>
      <w:r w:rsidR="009C2319">
        <w:rPr>
          <w:color w:val="000000" w:themeColor="text1"/>
          <w:sz w:val="22"/>
        </w:rPr>
        <w:t>UL</w:t>
      </w:r>
      <w:r w:rsidR="004D6CD4" w:rsidRPr="004D6CD4">
        <w:rPr>
          <w:color w:val="000000" w:themeColor="text1"/>
          <w:sz w:val="22"/>
        </w:rPr>
        <w:t xml:space="preserve"> </w:t>
      </w:r>
      <w:r w:rsidR="004D6CD4" w:rsidRPr="004D6CD4">
        <w:rPr>
          <w:color w:val="000000" w:themeColor="text1"/>
          <w:sz w:val="22"/>
        </w:rPr>
        <w:lastRenderedPageBreak/>
        <w:t xml:space="preserve">transmission </w:t>
      </w:r>
      <w:r w:rsidR="00207656">
        <w:rPr>
          <w:color w:val="000000" w:themeColor="text1"/>
          <w:sz w:val="22"/>
        </w:rPr>
        <w:t>above a configured threshold</w:t>
      </w:r>
      <w:r w:rsidR="009C2319">
        <w:rPr>
          <w:color w:val="000000" w:themeColor="text1"/>
          <w:sz w:val="22"/>
        </w:rPr>
        <w:t xml:space="preserve"> at least for RA-SDT</w:t>
      </w:r>
      <w:r w:rsidR="004D6CD4">
        <w:rPr>
          <w:color w:val="000000" w:themeColor="text1"/>
          <w:sz w:val="22"/>
        </w:rPr>
        <w:t>.</w:t>
      </w:r>
      <w:r w:rsidR="004D6CD4">
        <w:rPr>
          <w:rFonts w:hint="eastAsia"/>
          <w:color w:val="000000" w:themeColor="text1"/>
          <w:sz w:val="22"/>
        </w:rPr>
        <w:t xml:space="preserve"> </w:t>
      </w:r>
      <w:r w:rsidR="001152FB">
        <w:rPr>
          <w:color w:val="000000" w:themeColor="text1"/>
          <w:sz w:val="22"/>
        </w:rPr>
        <w:t>W</w:t>
      </w:r>
      <w:r w:rsidR="001152FB" w:rsidRPr="001152FB">
        <w:rPr>
          <w:color w:val="000000" w:themeColor="text1"/>
          <w:sz w:val="22"/>
        </w:rPr>
        <w:t xml:space="preserve">hen </w:t>
      </w:r>
      <w:r w:rsidR="001152FB">
        <w:rPr>
          <w:color w:val="000000" w:themeColor="text1"/>
          <w:sz w:val="22"/>
        </w:rPr>
        <w:t xml:space="preserve">the </w:t>
      </w:r>
      <w:r w:rsidR="00727F37">
        <w:rPr>
          <w:color w:val="000000" w:themeColor="text1"/>
          <w:sz w:val="22"/>
        </w:rPr>
        <w:t>UL</w:t>
      </w:r>
      <w:r w:rsidR="001152FB">
        <w:rPr>
          <w:color w:val="000000" w:themeColor="text1"/>
          <w:sz w:val="22"/>
        </w:rPr>
        <w:t xml:space="preserve"> </w:t>
      </w:r>
      <w:r w:rsidR="001152FB" w:rsidRPr="001152FB">
        <w:rPr>
          <w:color w:val="000000" w:themeColor="text1"/>
          <w:sz w:val="22"/>
        </w:rPr>
        <w:t xml:space="preserve">transmission </w:t>
      </w:r>
      <w:r w:rsidR="00727F37">
        <w:rPr>
          <w:color w:val="000000" w:themeColor="text1"/>
          <w:sz w:val="22"/>
        </w:rPr>
        <w:t xml:space="preserve">(e.g., Msg1, MSGA) </w:t>
      </w:r>
      <w:r w:rsidR="001152FB" w:rsidRPr="001152FB">
        <w:rPr>
          <w:color w:val="000000" w:themeColor="text1"/>
          <w:sz w:val="22"/>
        </w:rPr>
        <w:t xml:space="preserve">fails configured number of times, </w:t>
      </w:r>
      <w:r w:rsidR="009022A4">
        <w:rPr>
          <w:color w:val="000000" w:themeColor="text1"/>
          <w:sz w:val="22"/>
        </w:rPr>
        <w:t xml:space="preserve">the ongoing SDT procedure could be stopped. Then </w:t>
      </w:r>
      <w:r w:rsidR="00692B03">
        <w:rPr>
          <w:color w:val="000000" w:themeColor="text1"/>
          <w:sz w:val="22"/>
        </w:rPr>
        <w:t>a</w:t>
      </w:r>
      <w:r w:rsidR="001152FB" w:rsidRPr="001152FB">
        <w:rPr>
          <w:color w:val="000000" w:themeColor="text1"/>
          <w:sz w:val="22"/>
        </w:rPr>
        <w:t xml:space="preserve"> RA procedure </w:t>
      </w:r>
      <w:r w:rsidR="00692B03">
        <w:rPr>
          <w:color w:val="000000" w:themeColor="text1"/>
          <w:sz w:val="22"/>
        </w:rPr>
        <w:t xml:space="preserve">without small data </w:t>
      </w:r>
      <w:r w:rsidR="001152FB" w:rsidRPr="001152FB">
        <w:rPr>
          <w:color w:val="000000" w:themeColor="text1"/>
          <w:sz w:val="22"/>
        </w:rPr>
        <w:t>can be triggered</w:t>
      </w:r>
      <w:r w:rsidR="009022A4">
        <w:rPr>
          <w:color w:val="000000" w:themeColor="text1"/>
          <w:sz w:val="22"/>
        </w:rPr>
        <w:t xml:space="preserve"> and the UE select</w:t>
      </w:r>
      <w:r w:rsidR="00727F37">
        <w:rPr>
          <w:color w:val="000000" w:themeColor="text1"/>
          <w:sz w:val="22"/>
        </w:rPr>
        <w:t>s</w:t>
      </w:r>
      <w:r w:rsidR="009022A4">
        <w:rPr>
          <w:color w:val="000000" w:themeColor="text1"/>
          <w:sz w:val="22"/>
        </w:rPr>
        <w:t xml:space="preserve"> the RA resources to perform </w:t>
      </w:r>
      <w:r w:rsidR="00835BC2">
        <w:rPr>
          <w:color w:val="000000" w:themeColor="text1"/>
          <w:sz w:val="22"/>
        </w:rPr>
        <w:t xml:space="preserve">the </w:t>
      </w:r>
      <w:r w:rsidR="009022A4">
        <w:rPr>
          <w:color w:val="000000" w:themeColor="text1"/>
          <w:sz w:val="22"/>
        </w:rPr>
        <w:t>non-SDT based RA procedure</w:t>
      </w:r>
      <w:r w:rsidR="00224F16">
        <w:rPr>
          <w:color w:val="000000" w:themeColor="text1"/>
          <w:sz w:val="22"/>
        </w:rPr>
        <w:t xml:space="preserve"> (i.e., the legacy RA)</w:t>
      </w:r>
      <w:r w:rsidR="001152FB" w:rsidRPr="001152FB">
        <w:rPr>
          <w:color w:val="000000" w:themeColor="text1"/>
          <w:sz w:val="22"/>
        </w:rPr>
        <w:t xml:space="preserve">. </w:t>
      </w:r>
      <w:r w:rsidR="00727F37">
        <w:rPr>
          <w:color w:val="000000" w:themeColor="text1"/>
          <w:sz w:val="22"/>
        </w:rPr>
        <w:t xml:space="preserve">The UE would transmit the RRCResumeRequest message without UL data. </w:t>
      </w:r>
      <w:r w:rsidR="00835BC2">
        <w:rPr>
          <w:color w:val="000000" w:themeColor="text1"/>
          <w:sz w:val="22"/>
        </w:rPr>
        <w:t xml:space="preserve">The UE could </w:t>
      </w:r>
      <w:r w:rsidR="00835BC2" w:rsidRPr="00835BC2">
        <w:rPr>
          <w:color w:val="000000" w:themeColor="text1"/>
          <w:sz w:val="22"/>
        </w:rPr>
        <w:t>update the MAC PDU in the buffer</w:t>
      </w:r>
      <w:r w:rsidR="00835BC2">
        <w:rPr>
          <w:color w:val="000000" w:themeColor="text1"/>
          <w:sz w:val="22"/>
        </w:rPr>
        <w:t xml:space="preserve"> to exclude the </w:t>
      </w:r>
      <w:r w:rsidR="00727F37">
        <w:rPr>
          <w:color w:val="000000" w:themeColor="text1"/>
          <w:sz w:val="22"/>
        </w:rPr>
        <w:t>UL</w:t>
      </w:r>
      <w:r w:rsidR="00A95278">
        <w:rPr>
          <w:color w:val="000000" w:themeColor="text1"/>
          <w:sz w:val="22"/>
        </w:rPr>
        <w:t xml:space="preserve"> data</w:t>
      </w:r>
      <w:r w:rsidR="00835BC2">
        <w:rPr>
          <w:color w:val="000000" w:themeColor="text1"/>
          <w:sz w:val="22"/>
        </w:rPr>
        <w:t xml:space="preserve"> similar to EDT fallback in LTE</w:t>
      </w:r>
      <w:r w:rsidR="009C2319">
        <w:rPr>
          <w:color w:val="000000" w:themeColor="text1"/>
          <w:sz w:val="22"/>
        </w:rPr>
        <w:t>, if needed</w:t>
      </w:r>
      <w:r w:rsidR="00835BC2">
        <w:rPr>
          <w:color w:val="000000" w:themeColor="text1"/>
          <w:sz w:val="22"/>
        </w:rPr>
        <w:t>.</w:t>
      </w:r>
    </w:p>
    <w:p w14:paraId="41CC7948" w14:textId="257E7042" w:rsidR="00C33960" w:rsidRDefault="00C33960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</w:t>
      </w:r>
      <w:r w:rsidR="009C2319">
        <w:rPr>
          <w:b/>
          <w:sz w:val="22"/>
          <w:szCs w:val="22"/>
          <w:lang w:val="en-US" w:eastAsia="zh-TW"/>
        </w:rPr>
        <w:t xml:space="preserve">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 w:rsidR="005F71CB">
        <w:rPr>
          <w:b/>
          <w:sz w:val="22"/>
          <w:szCs w:val="22"/>
          <w:lang w:val="en-US" w:eastAsia="zh-TW"/>
        </w:rPr>
        <w:t xml:space="preserve"> in a RA-SDT procedure</w:t>
      </w:r>
      <w:r>
        <w:rPr>
          <w:b/>
          <w:sz w:val="22"/>
          <w:szCs w:val="22"/>
          <w:lang w:val="en-US" w:eastAsia="zh-TW"/>
        </w:rPr>
        <w:t>, the UE</w:t>
      </w:r>
      <w:r w:rsidR="005F71CB">
        <w:rPr>
          <w:b/>
          <w:sz w:val="22"/>
          <w:szCs w:val="22"/>
          <w:lang w:val="en-US" w:eastAsia="zh-TW"/>
        </w:rPr>
        <w:t xml:space="preserve"> stops the ongoing </w:t>
      </w:r>
      <w:r w:rsidR="004E49BB">
        <w:rPr>
          <w:b/>
          <w:sz w:val="22"/>
          <w:szCs w:val="22"/>
          <w:lang w:val="en-US" w:eastAsia="zh-TW"/>
        </w:rPr>
        <w:t xml:space="preserve">SDT </w:t>
      </w:r>
      <w:r w:rsidR="00A95278">
        <w:rPr>
          <w:b/>
          <w:sz w:val="22"/>
          <w:szCs w:val="22"/>
          <w:lang w:val="en-US" w:eastAsia="zh-TW"/>
        </w:rPr>
        <w:t xml:space="preserve">procedure and initiate a </w:t>
      </w:r>
      <w:r w:rsidR="005F71CB">
        <w:rPr>
          <w:b/>
          <w:sz w:val="22"/>
          <w:szCs w:val="22"/>
          <w:lang w:val="en-US" w:eastAsia="zh-TW"/>
        </w:rPr>
        <w:t xml:space="preserve">legacy </w:t>
      </w:r>
      <w:r w:rsidR="00A95278">
        <w:rPr>
          <w:b/>
          <w:sz w:val="22"/>
          <w:szCs w:val="22"/>
          <w:lang w:val="en-US" w:eastAsia="zh-TW"/>
        </w:rPr>
        <w:t xml:space="preserve">RA procedure </w:t>
      </w:r>
      <w:r w:rsidR="009C2319">
        <w:rPr>
          <w:b/>
          <w:sz w:val="22"/>
          <w:szCs w:val="22"/>
          <w:lang w:val="en-US" w:eastAsia="zh-TW"/>
        </w:rPr>
        <w:t>(i.e</w:t>
      </w:r>
      <w:r w:rsidR="005F71CB">
        <w:rPr>
          <w:b/>
          <w:sz w:val="22"/>
          <w:szCs w:val="22"/>
          <w:lang w:val="en-US" w:eastAsia="zh-TW"/>
        </w:rPr>
        <w:t xml:space="preserve">., </w:t>
      </w:r>
      <w:r w:rsidR="00A95278">
        <w:rPr>
          <w:b/>
          <w:sz w:val="22"/>
          <w:szCs w:val="22"/>
          <w:lang w:val="en-US" w:eastAsia="zh-TW"/>
        </w:rPr>
        <w:t xml:space="preserve">without </w:t>
      </w:r>
      <w:r w:rsidR="004B0D3F">
        <w:rPr>
          <w:b/>
          <w:sz w:val="22"/>
          <w:szCs w:val="22"/>
          <w:lang w:val="en-US" w:eastAsia="zh-TW"/>
        </w:rPr>
        <w:t>UL</w:t>
      </w:r>
      <w:r w:rsidR="00A95278">
        <w:rPr>
          <w:b/>
          <w:sz w:val="22"/>
          <w:szCs w:val="22"/>
          <w:lang w:val="en-US" w:eastAsia="zh-TW"/>
        </w:rPr>
        <w:t xml:space="preserve"> data</w:t>
      </w:r>
      <w:r w:rsidR="005F71CB">
        <w:rPr>
          <w:b/>
          <w:sz w:val="22"/>
          <w:szCs w:val="22"/>
          <w:lang w:val="en-US" w:eastAsia="zh-TW"/>
        </w:rPr>
        <w:t>)</w:t>
      </w:r>
      <w:r w:rsidR="00A95278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07802992" w:rsidR="00C95C60" w:rsidRPr="00927135" w:rsidRDefault="00124459" w:rsidP="00AA7E0A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927135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927135">
        <w:rPr>
          <w:rFonts w:hint="eastAsia"/>
          <w:color w:val="000000" w:themeColor="text1"/>
          <w:sz w:val="22"/>
        </w:rPr>
        <w:t xml:space="preserve">we </w:t>
      </w:r>
      <w:r w:rsidR="00434023" w:rsidRPr="00927135">
        <w:rPr>
          <w:rFonts w:hint="eastAsia"/>
          <w:color w:val="000000" w:themeColor="text1"/>
          <w:sz w:val="22"/>
        </w:rPr>
        <w:t>discuss</w:t>
      </w:r>
      <w:r w:rsidR="001A103C" w:rsidRPr="00927135">
        <w:rPr>
          <w:color w:val="000000" w:themeColor="text1"/>
          <w:sz w:val="22"/>
        </w:rPr>
        <w:t xml:space="preserve"> </w:t>
      </w:r>
      <w:r w:rsidR="00072581" w:rsidRPr="00927135">
        <w:rPr>
          <w:color w:val="000000" w:themeColor="text1"/>
          <w:sz w:val="22"/>
        </w:rPr>
        <w:t>the</w:t>
      </w:r>
      <w:r w:rsidR="00727F37" w:rsidRPr="00927135">
        <w:rPr>
          <w:color w:val="000000" w:themeColor="text1"/>
          <w:sz w:val="22"/>
        </w:rPr>
        <w:t xml:space="preserve"> fallback mechanism for RA-SDT</w:t>
      </w:r>
      <w:r w:rsidR="002B0830" w:rsidRPr="00927135">
        <w:rPr>
          <w:color w:val="000000" w:themeColor="text1"/>
          <w:sz w:val="22"/>
        </w:rPr>
        <w:t xml:space="preserve">, </w:t>
      </w:r>
      <w:r w:rsidR="00B26B8E" w:rsidRPr="00927135">
        <w:rPr>
          <w:rFonts w:hint="eastAsia"/>
          <w:color w:val="000000" w:themeColor="text1"/>
          <w:sz w:val="22"/>
        </w:rPr>
        <w:t xml:space="preserve">and </w:t>
      </w:r>
      <w:r w:rsidR="00C95C60" w:rsidRPr="00927135">
        <w:rPr>
          <w:rFonts w:hint="eastAsia"/>
          <w:color w:val="000000" w:themeColor="text1"/>
          <w:sz w:val="22"/>
        </w:rPr>
        <w:t>have the following proposal:</w:t>
      </w:r>
    </w:p>
    <w:p w14:paraId="1D77A539" w14:textId="7B05EDF1" w:rsidR="009A4E98" w:rsidRPr="00927135" w:rsidRDefault="00224F16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>
        <w:rPr>
          <w:b/>
          <w:sz w:val="22"/>
          <w:szCs w:val="22"/>
          <w:lang w:val="en-US" w:eastAsia="zh-TW"/>
        </w:rPr>
        <w:t xml:space="preserve"> in a RA-SDT procedure, the UE stops the ongoing SDT procedure and initiate a legacy RA procedure (i.e., without UL data).</w:t>
      </w:r>
    </w:p>
    <w:p w14:paraId="2D6D1F38" w14:textId="77777777" w:rsidR="00C95924" w:rsidRPr="00927135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927135">
        <w:rPr>
          <w:rFonts w:ascii="Times New Roman" w:hAnsi="Times New Roman"/>
          <w:sz w:val="32"/>
          <w:lang w:eastAsia="zh-TW"/>
        </w:rPr>
        <w:t>Reference</w:t>
      </w:r>
    </w:p>
    <w:p w14:paraId="71904FD7" w14:textId="77777777" w:rsidR="003B7DBA" w:rsidRDefault="003B7DBA" w:rsidP="003B7DB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260AC">
        <w:rPr>
          <w:sz w:val="22"/>
          <w:szCs w:val="22"/>
          <w:lang w:val="en-US" w:eastAsia="zh-TW"/>
        </w:rPr>
        <w:t>R2-210</w:t>
      </w:r>
      <w:r>
        <w:rPr>
          <w:sz w:val="22"/>
          <w:szCs w:val="22"/>
          <w:lang w:val="en-US" w:eastAsia="zh-TW"/>
        </w:rPr>
        <w:t>6641</w:t>
      </w:r>
      <w:r w:rsidRPr="008260AC">
        <w:rPr>
          <w:sz w:val="22"/>
          <w:szCs w:val="22"/>
          <w:lang w:val="en-US" w:eastAsia="zh-TW"/>
        </w:rPr>
        <w:t>, “Report of 3GPP TSG RAN WG2 meeting #113bis-e, Online</w:t>
      </w:r>
      <w:r>
        <w:rPr>
          <w:sz w:val="22"/>
          <w:szCs w:val="22"/>
          <w:lang w:val="en-US" w:eastAsia="zh-TW"/>
        </w:rPr>
        <w:t>.</w:t>
      </w:r>
      <w:r w:rsidRPr="008260AC">
        <w:rPr>
          <w:sz w:val="22"/>
          <w:szCs w:val="22"/>
          <w:lang w:val="en-US" w:eastAsia="zh-TW"/>
        </w:rPr>
        <w:t>”</w:t>
      </w:r>
    </w:p>
    <w:p w14:paraId="0831D83D" w14:textId="2BE2A9A6" w:rsidR="005F5A52" w:rsidRPr="00927135" w:rsidRDefault="00111CD4" w:rsidP="0092713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111CD4">
        <w:rPr>
          <w:sz w:val="22"/>
          <w:szCs w:val="22"/>
          <w:lang w:val="en-US" w:eastAsia="zh-TW"/>
        </w:rPr>
        <w:t>R2-2102707</w:t>
      </w:r>
      <w:r w:rsidR="00314788">
        <w:rPr>
          <w:sz w:val="22"/>
          <w:szCs w:val="22"/>
          <w:lang w:val="en-US" w:eastAsia="zh-TW"/>
        </w:rPr>
        <w:t>, “</w:t>
      </w:r>
      <w:r w:rsidRPr="00111CD4">
        <w:rPr>
          <w:sz w:val="22"/>
          <w:szCs w:val="22"/>
          <w:lang w:val="en-US" w:eastAsia="zh-TW"/>
        </w:rPr>
        <w:t>Report from email discussion [POST113-e][501][SDT] Selection criteria and overall Procedure</w:t>
      </w:r>
      <w:r w:rsidR="00314788">
        <w:rPr>
          <w:sz w:val="22"/>
          <w:szCs w:val="22"/>
          <w:lang w:val="en-US" w:eastAsia="zh-TW"/>
        </w:rPr>
        <w:t>”</w:t>
      </w:r>
    </w:p>
    <w:sectPr w:rsidR="005F5A52" w:rsidRPr="0092713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927E4" w14:textId="77777777" w:rsidR="00162E8D" w:rsidRDefault="00162E8D">
      <w:r>
        <w:separator/>
      </w:r>
    </w:p>
  </w:endnote>
  <w:endnote w:type="continuationSeparator" w:id="0">
    <w:p w14:paraId="33D5EA3E" w14:textId="77777777" w:rsidR="00162E8D" w:rsidRDefault="0016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A89CB" w14:textId="77777777" w:rsidR="00162E8D" w:rsidRDefault="00162E8D">
      <w:r>
        <w:separator/>
      </w:r>
    </w:p>
  </w:footnote>
  <w:footnote w:type="continuationSeparator" w:id="0">
    <w:p w14:paraId="765BFC97" w14:textId="77777777" w:rsidR="00162E8D" w:rsidRDefault="00162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644ADC"/>
    <w:multiLevelType w:val="hybridMultilevel"/>
    <w:tmpl w:val="1B2006A2"/>
    <w:lvl w:ilvl="0" w:tplc="A7B693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3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9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800666"/>
    <w:multiLevelType w:val="hybridMultilevel"/>
    <w:tmpl w:val="698ED49A"/>
    <w:lvl w:ilvl="0" w:tplc="956E2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C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0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2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E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0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21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A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4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6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80641F"/>
    <w:multiLevelType w:val="hybridMultilevel"/>
    <w:tmpl w:val="9BC8CAD0"/>
    <w:lvl w:ilvl="0" w:tplc="0D32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2A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8B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0D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B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44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C6D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84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65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2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5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7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E24EA"/>
    <w:multiLevelType w:val="hybridMultilevel"/>
    <w:tmpl w:val="A7C49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F29102A"/>
    <w:multiLevelType w:val="hybridMultilevel"/>
    <w:tmpl w:val="8C866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7"/>
  </w:num>
  <w:num w:numId="4">
    <w:abstractNumId w:val="21"/>
  </w:num>
  <w:num w:numId="5">
    <w:abstractNumId w:val="15"/>
  </w:num>
  <w:num w:numId="6">
    <w:abstractNumId w:val="20"/>
  </w:num>
  <w:num w:numId="7">
    <w:abstractNumId w:val="0"/>
  </w:num>
  <w:num w:numId="8">
    <w:abstractNumId w:val="31"/>
  </w:num>
  <w:num w:numId="9">
    <w:abstractNumId w:val="2"/>
  </w:num>
  <w:num w:numId="10">
    <w:abstractNumId w:val="6"/>
  </w:num>
  <w:num w:numId="11">
    <w:abstractNumId w:val="1"/>
  </w:num>
  <w:num w:numId="12">
    <w:abstractNumId w:val="25"/>
  </w:num>
  <w:num w:numId="13">
    <w:abstractNumId w:val="4"/>
  </w:num>
  <w:num w:numId="14">
    <w:abstractNumId w:val="29"/>
  </w:num>
  <w:num w:numId="15">
    <w:abstractNumId w:val="27"/>
  </w:num>
  <w:num w:numId="16">
    <w:abstractNumId w:val="14"/>
  </w:num>
  <w:num w:numId="17">
    <w:abstractNumId w:val="8"/>
  </w:num>
  <w:num w:numId="18">
    <w:abstractNumId w:val="45"/>
  </w:num>
  <w:num w:numId="19">
    <w:abstractNumId w:val="34"/>
  </w:num>
  <w:num w:numId="20">
    <w:abstractNumId w:val="28"/>
  </w:num>
  <w:num w:numId="21">
    <w:abstractNumId w:val="44"/>
  </w:num>
  <w:num w:numId="22">
    <w:abstractNumId w:val="46"/>
  </w:num>
  <w:num w:numId="23">
    <w:abstractNumId w:val="33"/>
  </w:num>
  <w:num w:numId="24">
    <w:abstractNumId w:val="35"/>
  </w:num>
  <w:num w:numId="25">
    <w:abstractNumId w:val="5"/>
  </w:num>
  <w:num w:numId="26">
    <w:abstractNumId w:val="18"/>
  </w:num>
  <w:num w:numId="27">
    <w:abstractNumId w:val="22"/>
  </w:num>
  <w:num w:numId="28">
    <w:abstractNumId w:val="37"/>
  </w:num>
  <w:num w:numId="29">
    <w:abstractNumId w:val="23"/>
  </w:num>
  <w:num w:numId="30">
    <w:abstractNumId w:val="41"/>
  </w:num>
  <w:num w:numId="31">
    <w:abstractNumId w:val="43"/>
  </w:num>
  <w:num w:numId="32">
    <w:abstractNumId w:val="3"/>
  </w:num>
  <w:num w:numId="33">
    <w:abstractNumId w:val="42"/>
  </w:num>
  <w:num w:numId="34">
    <w:abstractNumId w:val="30"/>
  </w:num>
  <w:num w:numId="35">
    <w:abstractNumId w:val="36"/>
  </w:num>
  <w:num w:numId="36">
    <w:abstractNumId w:val="26"/>
  </w:num>
  <w:num w:numId="37">
    <w:abstractNumId w:val="47"/>
  </w:num>
  <w:num w:numId="38">
    <w:abstractNumId w:val="9"/>
  </w:num>
  <w:num w:numId="39">
    <w:abstractNumId w:val="10"/>
  </w:num>
  <w:num w:numId="40">
    <w:abstractNumId w:val="19"/>
  </w:num>
  <w:num w:numId="41">
    <w:abstractNumId w:val="38"/>
  </w:num>
  <w:num w:numId="42">
    <w:abstractNumId w:val="48"/>
  </w:num>
  <w:num w:numId="43">
    <w:abstractNumId w:val="32"/>
  </w:num>
  <w:num w:numId="44">
    <w:abstractNumId w:val="49"/>
  </w:num>
  <w:num w:numId="45">
    <w:abstractNumId w:val="24"/>
  </w:num>
  <w:num w:numId="46">
    <w:abstractNumId w:val="16"/>
  </w:num>
  <w:num w:numId="47">
    <w:abstractNumId w:val="13"/>
  </w:num>
  <w:num w:numId="48">
    <w:abstractNumId w:val="40"/>
  </w:num>
  <w:num w:numId="49">
    <w:abstractNumId w:val="39"/>
  </w:num>
  <w:num w:numId="5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2FD7"/>
    <w:rsid w:val="0003304F"/>
    <w:rsid w:val="000330B6"/>
    <w:rsid w:val="00033900"/>
    <w:rsid w:val="00033C31"/>
    <w:rsid w:val="00033DCE"/>
    <w:rsid w:val="00034724"/>
    <w:rsid w:val="00035199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0D6F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2460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3151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CD4"/>
    <w:rsid w:val="00111FD0"/>
    <w:rsid w:val="001129C5"/>
    <w:rsid w:val="001148AD"/>
    <w:rsid w:val="00114A53"/>
    <w:rsid w:val="001152FB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2E8D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9D6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656"/>
    <w:rsid w:val="00207D51"/>
    <w:rsid w:val="00210006"/>
    <w:rsid w:val="002105BF"/>
    <w:rsid w:val="00210807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4F16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A8C"/>
    <w:rsid w:val="0023598B"/>
    <w:rsid w:val="002371CA"/>
    <w:rsid w:val="00237809"/>
    <w:rsid w:val="00237884"/>
    <w:rsid w:val="00240938"/>
    <w:rsid w:val="00241B00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727F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7796C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6F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20B2"/>
    <w:rsid w:val="002E2652"/>
    <w:rsid w:val="002E2A62"/>
    <w:rsid w:val="002E307F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3E5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909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B7DBA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0D03"/>
    <w:rsid w:val="003D1D87"/>
    <w:rsid w:val="003D2663"/>
    <w:rsid w:val="003D4085"/>
    <w:rsid w:val="003D429E"/>
    <w:rsid w:val="003D4486"/>
    <w:rsid w:val="003D4ACB"/>
    <w:rsid w:val="003D6C1C"/>
    <w:rsid w:val="003D758B"/>
    <w:rsid w:val="003E03A9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3C81"/>
    <w:rsid w:val="00404202"/>
    <w:rsid w:val="00404F78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653B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602"/>
    <w:rsid w:val="00452E03"/>
    <w:rsid w:val="00453A5D"/>
    <w:rsid w:val="0045406F"/>
    <w:rsid w:val="00454221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A78DE"/>
    <w:rsid w:val="004B0415"/>
    <w:rsid w:val="004B0D3F"/>
    <w:rsid w:val="004B2143"/>
    <w:rsid w:val="004B2C29"/>
    <w:rsid w:val="004B33B7"/>
    <w:rsid w:val="004B3578"/>
    <w:rsid w:val="004B4645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6CD4"/>
    <w:rsid w:val="004D7157"/>
    <w:rsid w:val="004D7372"/>
    <w:rsid w:val="004E13D6"/>
    <w:rsid w:val="004E2E1F"/>
    <w:rsid w:val="004E369B"/>
    <w:rsid w:val="004E49BB"/>
    <w:rsid w:val="004E5728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0F7A"/>
    <w:rsid w:val="00501664"/>
    <w:rsid w:val="00501B7B"/>
    <w:rsid w:val="0050278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41DD"/>
    <w:rsid w:val="00555616"/>
    <w:rsid w:val="00555E65"/>
    <w:rsid w:val="005573B5"/>
    <w:rsid w:val="00557770"/>
    <w:rsid w:val="00560076"/>
    <w:rsid w:val="0056011C"/>
    <w:rsid w:val="0056058F"/>
    <w:rsid w:val="00561786"/>
    <w:rsid w:val="00565257"/>
    <w:rsid w:val="00565B59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8C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E7AF5"/>
    <w:rsid w:val="005F0A05"/>
    <w:rsid w:val="005F373D"/>
    <w:rsid w:val="005F4FEC"/>
    <w:rsid w:val="005F560A"/>
    <w:rsid w:val="005F5A52"/>
    <w:rsid w:val="005F71CB"/>
    <w:rsid w:val="00600297"/>
    <w:rsid w:val="00601251"/>
    <w:rsid w:val="00601780"/>
    <w:rsid w:val="0060222E"/>
    <w:rsid w:val="0060315A"/>
    <w:rsid w:val="00603DC8"/>
    <w:rsid w:val="00604B0C"/>
    <w:rsid w:val="0060562A"/>
    <w:rsid w:val="00606566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6353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2B03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456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4E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286E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AF8"/>
    <w:rsid w:val="006F1DDF"/>
    <w:rsid w:val="006F2FCF"/>
    <w:rsid w:val="006F3B8B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16C"/>
    <w:rsid w:val="00707332"/>
    <w:rsid w:val="007079EA"/>
    <w:rsid w:val="00707D8A"/>
    <w:rsid w:val="00707F52"/>
    <w:rsid w:val="00711154"/>
    <w:rsid w:val="007113C8"/>
    <w:rsid w:val="00712473"/>
    <w:rsid w:val="00712834"/>
    <w:rsid w:val="00713A2A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27F37"/>
    <w:rsid w:val="00730B05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438B"/>
    <w:rsid w:val="00745328"/>
    <w:rsid w:val="0074558E"/>
    <w:rsid w:val="007457E1"/>
    <w:rsid w:val="00745CE2"/>
    <w:rsid w:val="007460E9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58A1"/>
    <w:rsid w:val="00775B84"/>
    <w:rsid w:val="007769DF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15C1"/>
    <w:rsid w:val="007D53DE"/>
    <w:rsid w:val="007D554D"/>
    <w:rsid w:val="007D5E0C"/>
    <w:rsid w:val="007D5FD2"/>
    <w:rsid w:val="007D62B3"/>
    <w:rsid w:val="007D680C"/>
    <w:rsid w:val="007D7F5F"/>
    <w:rsid w:val="007E09D8"/>
    <w:rsid w:val="007E13F5"/>
    <w:rsid w:val="007E2927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8017E3"/>
    <w:rsid w:val="008029EC"/>
    <w:rsid w:val="008034BB"/>
    <w:rsid w:val="00803959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35BC2"/>
    <w:rsid w:val="00836415"/>
    <w:rsid w:val="00843569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6C3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910A1"/>
    <w:rsid w:val="0089129B"/>
    <w:rsid w:val="0089209B"/>
    <w:rsid w:val="008922A6"/>
    <w:rsid w:val="00892990"/>
    <w:rsid w:val="00892B61"/>
    <w:rsid w:val="0089379E"/>
    <w:rsid w:val="00893C58"/>
    <w:rsid w:val="00894372"/>
    <w:rsid w:val="00894A6D"/>
    <w:rsid w:val="00894DA2"/>
    <w:rsid w:val="00895FD6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A781B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462C"/>
    <w:rsid w:val="008C54AA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22A4"/>
    <w:rsid w:val="0090342B"/>
    <w:rsid w:val="0090669B"/>
    <w:rsid w:val="00906ABD"/>
    <w:rsid w:val="009075A3"/>
    <w:rsid w:val="009077F4"/>
    <w:rsid w:val="009100D3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17EE3"/>
    <w:rsid w:val="00920B58"/>
    <w:rsid w:val="0092134B"/>
    <w:rsid w:val="00923FB0"/>
    <w:rsid w:val="0092473D"/>
    <w:rsid w:val="00925217"/>
    <w:rsid w:val="0092627A"/>
    <w:rsid w:val="00926A2E"/>
    <w:rsid w:val="00926AC1"/>
    <w:rsid w:val="00927135"/>
    <w:rsid w:val="00927702"/>
    <w:rsid w:val="00930181"/>
    <w:rsid w:val="00934AD6"/>
    <w:rsid w:val="00934B4A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2EDA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3F0A"/>
    <w:rsid w:val="009858C3"/>
    <w:rsid w:val="00985A90"/>
    <w:rsid w:val="00986B93"/>
    <w:rsid w:val="0098700B"/>
    <w:rsid w:val="009876B0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4E98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319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6CE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0ECE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254D"/>
    <w:rsid w:val="00A9327C"/>
    <w:rsid w:val="00A946CE"/>
    <w:rsid w:val="00A95278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0A"/>
    <w:rsid w:val="00AA7E75"/>
    <w:rsid w:val="00AB082C"/>
    <w:rsid w:val="00AB2922"/>
    <w:rsid w:val="00AB50C8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0B8D"/>
    <w:rsid w:val="00AE11C8"/>
    <w:rsid w:val="00AE2F78"/>
    <w:rsid w:val="00AE3D8A"/>
    <w:rsid w:val="00AE4C3B"/>
    <w:rsid w:val="00AE5116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68E"/>
    <w:rsid w:val="00B52C1B"/>
    <w:rsid w:val="00B52F4A"/>
    <w:rsid w:val="00B5445C"/>
    <w:rsid w:val="00B558AD"/>
    <w:rsid w:val="00B55C7D"/>
    <w:rsid w:val="00B56645"/>
    <w:rsid w:val="00B56B9D"/>
    <w:rsid w:val="00B6051E"/>
    <w:rsid w:val="00B60944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4783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5B57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7B78"/>
    <w:rsid w:val="00C10125"/>
    <w:rsid w:val="00C10593"/>
    <w:rsid w:val="00C113F9"/>
    <w:rsid w:val="00C117A5"/>
    <w:rsid w:val="00C12894"/>
    <w:rsid w:val="00C13667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960"/>
    <w:rsid w:val="00C33E53"/>
    <w:rsid w:val="00C342CA"/>
    <w:rsid w:val="00C34460"/>
    <w:rsid w:val="00C35887"/>
    <w:rsid w:val="00C35AAF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47FBA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2AA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2AA6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7867"/>
    <w:rsid w:val="00CC0E65"/>
    <w:rsid w:val="00CC3476"/>
    <w:rsid w:val="00CC4773"/>
    <w:rsid w:val="00CC4C28"/>
    <w:rsid w:val="00CC5AE2"/>
    <w:rsid w:val="00CC69FC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10D0"/>
    <w:rsid w:val="00CE156D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3FA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B68D7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92F"/>
    <w:rsid w:val="00DD7F79"/>
    <w:rsid w:val="00DD7FBE"/>
    <w:rsid w:val="00DE1081"/>
    <w:rsid w:val="00DE1C4A"/>
    <w:rsid w:val="00DE1C95"/>
    <w:rsid w:val="00DE1E93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6CE"/>
    <w:rsid w:val="00DF0CD8"/>
    <w:rsid w:val="00DF17A7"/>
    <w:rsid w:val="00DF257E"/>
    <w:rsid w:val="00DF2D5A"/>
    <w:rsid w:val="00DF358B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0183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16D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4B"/>
    <w:rsid w:val="00E6579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EF0"/>
    <w:rsid w:val="00E84192"/>
    <w:rsid w:val="00E858A8"/>
    <w:rsid w:val="00E867F0"/>
    <w:rsid w:val="00E86A86"/>
    <w:rsid w:val="00E87884"/>
    <w:rsid w:val="00E90925"/>
    <w:rsid w:val="00E91A87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547A"/>
    <w:rsid w:val="00F05B9F"/>
    <w:rsid w:val="00F05DD1"/>
    <w:rsid w:val="00F06274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4BDE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5CEB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1BAA"/>
    <w:rsid w:val="00FA37DB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6579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6579B"/>
    <w:rPr>
      <w:rFonts w:ascii="Arial" w:eastAsia="MS Mincho" w:hAnsi="Arial"/>
      <w:noProof/>
      <w:szCs w:val="24"/>
      <w:lang w:val="en-GB" w:eastAsia="en-GB"/>
    </w:rPr>
  </w:style>
  <w:style w:type="character" w:customStyle="1" w:styleId="CharChar1">
    <w:name w:val="Char Char1"/>
    <w:rsid w:val="005F5A52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8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0F0A-79C8-4ADA-8590-8EDD1209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666</Words>
  <Characters>3797</Characters>
  <Application>Microsoft Office Word</Application>
  <DocSecurity>0</DocSecurity>
  <Lines>31</Lines>
  <Paragraphs>8</Paragraphs>
  <ScaleCrop>false</ScaleCrop>
  <Company>Asustek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2021-08-06T03:02:00Z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